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>安徽三联学院大学生学习马克思主义理论成果大赛评分标准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5"/>
        <w:tblW w:w="91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评阅要素</w:t>
            </w:r>
          </w:p>
        </w:tc>
        <w:tc>
          <w:tcPr>
            <w:tcW w:w="68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      分      标 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选题与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规范30%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成果选题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规范性（10%）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成果水平60%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成果与新解（40%）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35~40分：在理论与实践方面有独到之处，成果突出。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19~29分：有新见解，成果在理论或实际上有意义。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基础理论与专门知识（20%）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18~20分：具有坚实的基础理论和系统的专门知识。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15~17分：较好地掌握坚实的基础理论和系统的专门知识。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12~14分：掌握较坚实的基础理论和较系统的专门知识。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left="-107" w:leftChars="-51"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成果工作量10%</w:t>
            </w:r>
          </w:p>
        </w:tc>
        <w:tc>
          <w:tcPr>
            <w:tcW w:w="6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9~10分：做了大量有效的研究工作。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7~8分：有效工作量较大。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5~6分：有效工作量尚可。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3~4分：工作量不足或工作效率低。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mRjNmU2MGZiNjlmODgyMDEwMGM0MGQ4MjVlMDIifQ=="/>
  </w:docVars>
  <w:rsids>
    <w:rsidRoot w:val="2E586E00"/>
    <w:rsid w:val="0066328A"/>
    <w:rsid w:val="00BF788B"/>
    <w:rsid w:val="00FD0661"/>
    <w:rsid w:val="01EF39FC"/>
    <w:rsid w:val="2E586E00"/>
    <w:rsid w:val="342A2A3D"/>
    <w:rsid w:val="48221AFA"/>
    <w:rsid w:val="55960D19"/>
    <w:rsid w:val="7DC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655</Characters>
  <Lines>5</Lines>
  <Paragraphs>1</Paragraphs>
  <TotalTime>4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2020-09-09T09:38:00Z</dcterms:created>
  <dc:creator>H3</dc:creator>
  <cp:lastModifiedBy>WPS_1593505228</cp:lastModifiedBy>
  <dcterms:modified xsi:type="dcterms:W3CDTF">2023-07-22T05:39:56Z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B015DE56402245078A25C4AB625AA987</vt:lpwstr>
  </property>
</Properties>
</file>