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beforeLines="30" w:after="124" w:afterLines="40"/>
        <w:jc w:val="center"/>
        <w:rPr>
          <w:b/>
          <w:sz w:val="32"/>
        </w:rPr>
      </w:pPr>
      <w:r>
        <w:rPr>
          <w:rFonts w:hint="eastAsia"/>
          <w:b/>
          <w:sz w:val="32"/>
        </w:rPr>
        <w:t>省级质量工程MOOC示范项目验收审核标准</w:t>
      </w:r>
    </w:p>
    <w:p>
      <w:pPr>
        <w:spacing w:before="93" w:beforeLines="30" w:after="124" w:afterLines="40"/>
        <w:jc w:val="center"/>
        <w:rPr>
          <w:b/>
          <w:sz w:val="32"/>
        </w:rPr>
      </w:pPr>
      <w:r>
        <w:rPr>
          <w:rFonts w:hint="eastAsia"/>
          <w:b/>
        </w:rPr>
        <w:t>（参照国家精品在线开放课程评选标准并结合安徽省教育厅相关文件和通知精神编写）</w:t>
      </w:r>
    </w:p>
    <w:tbl>
      <w:tblPr>
        <w:tblStyle w:val="5"/>
        <w:tblW w:w="8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843"/>
        <w:gridCol w:w="5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tcBorders>
              <w:top w:val="single" w:color="auto" w:sz="12" w:space="0"/>
              <w:left w:val="single" w:color="auto" w:sz="12" w:space="0"/>
              <w:bottom w:val="single" w:color="auto" w:sz="8" w:space="0"/>
            </w:tcBorders>
            <w:vAlign w:val="center"/>
          </w:tcPr>
          <w:p>
            <w:pPr>
              <w:jc w:val="center"/>
              <w:rPr>
                <w:b/>
                <w:sz w:val="24"/>
              </w:rPr>
            </w:pPr>
            <w:r>
              <w:rPr>
                <w:rFonts w:hint="eastAsia"/>
                <w:b/>
                <w:sz w:val="24"/>
              </w:rPr>
              <w:t>一级指标</w:t>
            </w:r>
          </w:p>
        </w:tc>
        <w:tc>
          <w:tcPr>
            <w:tcW w:w="1843" w:type="dxa"/>
            <w:tcBorders>
              <w:top w:val="single" w:color="auto" w:sz="12" w:space="0"/>
              <w:bottom w:val="single" w:color="auto" w:sz="8" w:space="0"/>
            </w:tcBorders>
            <w:vAlign w:val="center"/>
          </w:tcPr>
          <w:p>
            <w:pPr>
              <w:jc w:val="center"/>
              <w:rPr>
                <w:b/>
                <w:sz w:val="24"/>
              </w:rPr>
            </w:pPr>
            <w:r>
              <w:rPr>
                <w:rFonts w:hint="eastAsia"/>
                <w:b/>
                <w:sz w:val="24"/>
              </w:rPr>
              <w:t>二级指标</w:t>
            </w:r>
          </w:p>
        </w:tc>
        <w:tc>
          <w:tcPr>
            <w:tcW w:w="5256" w:type="dxa"/>
            <w:tcBorders>
              <w:top w:val="single" w:color="auto" w:sz="12" w:space="0"/>
              <w:bottom w:val="single" w:color="auto" w:sz="8" w:space="0"/>
              <w:right w:val="single" w:color="auto" w:sz="12" w:space="0"/>
            </w:tcBorders>
            <w:vAlign w:val="center"/>
          </w:tcPr>
          <w:p>
            <w:pPr>
              <w:jc w:val="center"/>
              <w:rPr>
                <w:b/>
                <w:sz w:val="24"/>
              </w:rPr>
            </w:pPr>
            <w:r>
              <w:rPr>
                <w:rFonts w:hint="eastAsia"/>
                <w:b/>
                <w:sz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271" w:type="dxa"/>
            <w:vMerge w:val="restart"/>
            <w:tcBorders>
              <w:top w:val="single" w:color="auto" w:sz="8" w:space="0"/>
              <w:left w:val="single" w:color="auto" w:sz="12" w:space="0"/>
            </w:tcBorders>
            <w:vAlign w:val="center"/>
          </w:tcPr>
          <w:p>
            <w:pPr>
              <w:jc w:val="center"/>
              <w:rPr>
                <w:b/>
              </w:rPr>
            </w:pPr>
            <w:r>
              <w:rPr>
                <w:rFonts w:hint="eastAsia"/>
                <w:b/>
                <w:sz w:val="24"/>
              </w:rPr>
              <w:t>课程建设</w:t>
            </w:r>
          </w:p>
        </w:tc>
        <w:tc>
          <w:tcPr>
            <w:tcW w:w="1843" w:type="dxa"/>
            <w:tcBorders>
              <w:top w:val="single" w:color="auto" w:sz="8" w:space="0"/>
            </w:tcBorders>
            <w:vAlign w:val="center"/>
          </w:tcPr>
          <w:p>
            <w:pPr>
              <w:jc w:val="center"/>
              <w:rPr>
                <w:b/>
                <w:sz w:val="22"/>
              </w:rPr>
            </w:pPr>
            <w:r>
              <w:rPr>
                <w:rFonts w:hint="eastAsia"/>
                <w:b/>
                <w:sz w:val="22"/>
              </w:rPr>
              <w:t>视频资源</w:t>
            </w:r>
          </w:p>
        </w:tc>
        <w:tc>
          <w:tcPr>
            <w:tcW w:w="5256" w:type="dxa"/>
            <w:tcBorders>
              <w:top w:val="single" w:color="auto" w:sz="8" w:space="0"/>
              <w:right w:val="single" w:color="auto" w:sz="12" w:space="0"/>
            </w:tcBorders>
            <w:vAlign w:val="center"/>
          </w:tcPr>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1.视频内容：课程视频内容包含课程教学大纲完整章节内容，教学内容科学、准确，弘扬社会主义核心价值观；</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2.视频时长：总时长原则</w:t>
            </w:r>
            <w:bookmarkStart w:id="0" w:name="_GoBack"/>
            <w:r>
              <w:rPr>
                <w:rFonts w:hint="eastAsia" w:ascii="宋体" w:hAnsi="宋体" w:eastAsia="宋体" w:cs="宋体"/>
                <w:color w:val="auto"/>
                <w:sz w:val="22"/>
                <w:szCs w:val="22"/>
                <w:highlight w:val="none"/>
              </w:rPr>
              <w:t>上≥480分钟</w:t>
            </w:r>
            <w:r>
              <w:rPr>
                <w:rFonts w:hint="eastAsia" w:ascii="宋体" w:hAnsi="宋体" w:eastAsia="宋体" w:cs="宋体"/>
                <w:color w:val="auto"/>
                <w:sz w:val="22"/>
                <w:szCs w:val="22"/>
                <w:highlight w:val="none"/>
              </w:rPr>
              <w:t>；</w:t>
            </w:r>
            <w:bookmarkEnd w:id="0"/>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3.技术规范：参照《安徽省MOOC示范项目课程建设规范及标准》执行；</w:t>
            </w:r>
          </w:p>
          <w:p>
            <w:pPr>
              <w:rPr>
                <w:rFonts w:hint="eastAsia" w:ascii="宋体" w:hAnsi="宋体" w:eastAsia="宋体" w:cs="宋体"/>
                <w:sz w:val="22"/>
                <w:szCs w:val="22"/>
              </w:rPr>
            </w:pPr>
            <w:r>
              <w:rPr>
                <w:rFonts w:hint="eastAsia" w:ascii="宋体" w:hAnsi="宋体" w:eastAsia="宋体" w:cs="宋体"/>
                <w:color w:val="auto"/>
                <w:sz w:val="22"/>
                <w:szCs w:val="22"/>
                <w:highlight w:val="none"/>
              </w:rPr>
              <w:t>4.知识产权：无侵权行为。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271" w:type="dxa"/>
            <w:vMerge w:val="continue"/>
            <w:tcBorders>
              <w:left w:val="single" w:color="auto" w:sz="12" w:space="0"/>
              <w:bottom w:val="single" w:color="auto" w:sz="8" w:space="0"/>
            </w:tcBorders>
          </w:tcPr>
          <w:p>
            <w:pPr>
              <w:rPr>
                <w:b/>
              </w:rPr>
            </w:pPr>
          </w:p>
        </w:tc>
        <w:tc>
          <w:tcPr>
            <w:tcW w:w="1843" w:type="dxa"/>
            <w:tcBorders>
              <w:bottom w:val="single" w:color="auto" w:sz="8" w:space="0"/>
            </w:tcBorders>
            <w:vAlign w:val="center"/>
          </w:tcPr>
          <w:p>
            <w:pPr>
              <w:jc w:val="center"/>
              <w:rPr>
                <w:b/>
                <w:sz w:val="22"/>
              </w:rPr>
            </w:pPr>
            <w:r>
              <w:rPr>
                <w:rFonts w:hint="eastAsia"/>
                <w:b/>
                <w:sz w:val="22"/>
              </w:rPr>
              <w:t>非视频资源</w:t>
            </w:r>
          </w:p>
        </w:tc>
        <w:tc>
          <w:tcPr>
            <w:tcW w:w="5256" w:type="dxa"/>
            <w:tcBorders>
              <w:bottom w:val="single" w:color="auto" w:sz="8" w:space="0"/>
              <w:right w:val="single" w:color="auto" w:sz="12" w:space="0"/>
            </w:tcBorders>
            <w:vAlign w:val="center"/>
          </w:tcPr>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1.完备性：包含课程介绍、课程公告、教学大纲、课件、参考资料、讨论、测试和作业、考试等；</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2.资源数量：非视频资源数量原则上≥50个/周期；</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3.技术规范：参照《安徽省MOOC示范项目课程建设规范及标准》执行；</w:t>
            </w:r>
          </w:p>
          <w:p>
            <w:pPr>
              <w:rPr>
                <w:rFonts w:hint="eastAsia" w:ascii="宋体" w:hAnsi="宋体" w:eastAsia="宋体" w:cs="宋体"/>
                <w:sz w:val="22"/>
                <w:szCs w:val="22"/>
              </w:rPr>
            </w:pPr>
            <w:r>
              <w:rPr>
                <w:rFonts w:hint="eastAsia" w:ascii="宋体" w:hAnsi="宋体" w:eastAsia="宋体" w:cs="宋体"/>
                <w:color w:val="auto"/>
                <w:sz w:val="22"/>
                <w:szCs w:val="22"/>
                <w:highlight w:val="none"/>
              </w:rPr>
              <w:t>4.知识产权：无侵权行为。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271" w:type="dxa"/>
            <w:vMerge w:val="restart"/>
            <w:tcBorders>
              <w:top w:val="single" w:color="auto" w:sz="8" w:space="0"/>
              <w:left w:val="single" w:color="auto" w:sz="12" w:space="0"/>
            </w:tcBorders>
            <w:vAlign w:val="center"/>
          </w:tcPr>
          <w:p>
            <w:pPr>
              <w:jc w:val="center"/>
              <w:rPr>
                <w:b/>
                <w:sz w:val="24"/>
              </w:rPr>
            </w:pPr>
            <w:r>
              <w:rPr>
                <w:rFonts w:hint="eastAsia"/>
                <w:b/>
                <w:sz w:val="24"/>
              </w:rPr>
              <w:t>课程应用</w:t>
            </w:r>
          </w:p>
        </w:tc>
        <w:tc>
          <w:tcPr>
            <w:tcW w:w="1843" w:type="dxa"/>
            <w:tcBorders>
              <w:top w:val="single" w:color="auto" w:sz="8" w:space="0"/>
            </w:tcBorders>
            <w:vAlign w:val="center"/>
          </w:tcPr>
          <w:p>
            <w:pPr>
              <w:jc w:val="center"/>
              <w:rPr>
                <w:b/>
                <w:sz w:val="22"/>
              </w:rPr>
            </w:pPr>
            <w:r>
              <w:rPr>
                <w:rFonts w:hint="eastAsia"/>
                <w:b/>
                <w:sz w:val="22"/>
              </w:rPr>
              <w:t>运行平台及周期</w:t>
            </w:r>
          </w:p>
        </w:tc>
        <w:tc>
          <w:tcPr>
            <w:tcW w:w="5256" w:type="dxa"/>
            <w:tcBorders>
              <w:top w:val="single" w:color="auto" w:sz="8" w:space="0"/>
              <w:right w:val="single" w:color="auto" w:sz="12" w:space="0"/>
            </w:tcBorders>
            <w:vAlign w:val="center"/>
          </w:tcPr>
          <w:p>
            <w:pPr>
              <w:rPr>
                <w:rFonts w:hint="eastAsia" w:ascii="宋体" w:hAnsi="宋体" w:eastAsia="宋体" w:cs="宋体"/>
                <w:sz w:val="22"/>
                <w:szCs w:val="22"/>
              </w:rPr>
            </w:pPr>
            <w:r>
              <w:rPr>
                <w:rFonts w:hint="eastAsia" w:ascii="宋体" w:hAnsi="宋体" w:eastAsia="宋体" w:cs="宋体"/>
                <w:color w:val="auto"/>
                <w:sz w:val="22"/>
                <w:szCs w:val="22"/>
                <w:highlight w:val="none"/>
              </w:rPr>
              <w:t>在国内外主流网络课程平台上线，并至少运行2个完整教学周期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2" w:hRule="atLeast"/>
          <w:jc w:val="center"/>
        </w:trPr>
        <w:tc>
          <w:tcPr>
            <w:tcW w:w="1271" w:type="dxa"/>
            <w:vMerge w:val="continue"/>
            <w:tcBorders>
              <w:left w:val="single" w:color="auto" w:sz="12" w:space="0"/>
            </w:tcBorders>
          </w:tcPr>
          <w:p>
            <w:pPr>
              <w:rPr>
                <w:b/>
              </w:rPr>
            </w:pPr>
          </w:p>
        </w:tc>
        <w:tc>
          <w:tcPr>
            <w:tcW w:w="1843" w:type="dxa"/>
            <w:vAlign w:val="center"/>
          </w:tcPr>
          <w:p>
            <w:pPr>
              <w:jc w:val="center"/>
              <w:rPr>
                <w:b/>
                <w:sz w:val="22"/>
              </w:rPr>
            </w:pPr>
            <w:r>
              <w:rPr>
                <w:rFonts w:hint="eastAsia"/>
                <w:b/>
                <w:sz w:val="22"/>
              </w:rPr>
              <w:t>教学活动与指导</w:t>
            </w:r>
          </w:p>
        </w:tc>
        <w:tc>
          <w:tcPr>
            <w:tcW w:w="5256" w:type="dxa"/>
            <w:tcBorders>
              <w:right w:val="single" w:color="auto" w:sz="12" w:space="0"/>
            </w:tcBorders>
            <w:vAlign w:val="center"/>
          </w:tcPr>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hint="eastAsia" w:ascii="宋体" w:hAnsi="宋体" w:eastAsia="宋体" w:cs="宋体"/>
                <w:b/>
                <w:color w:val="auto"/>
                <w:sz w:val="22"/>
                <w:szCs w:val="22"/>
                <w:highlight w:val="none"/>
              </w:rPr>
              <w:t>一个教学周期</w:t>
            </w:r>
            <w:r>
              <w:rPr>
                <w:rFonts w:hint="eastAsia" w:ascii="宋体" w:hAnsi="宋体" w:eastAsia="宋体" w:cs="宋体"/>
                <w:color w:val="auto"/>
                <w:sz w:val="22"/>
                <w:szCs w:val="22"/>
                <w:highlight w:val="none"/>
              </w:rPr>
              <w:t>内，课程数据原则上应满足如下要求：</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b/>
                <w:color w:val="auto"/>
                <w:sz w:val="22"/>
                <w:szCs w:val="22"/>
                <w:highlight w:val="none"/>
              </w:rPr>
              <w:t>课程公告：</w:t>
            </w:r>
            <w:r>
              <w:rPr>
                <w:rFonts w:hint="eastAsia" w:ascii="宋体" w:hAnsi="宋体" w:eastAsia="宋体" w:cs="宋体"/>
                <w:color w:val="auto"/>
                <w:sz w:val="22"/>
                <w:szCs w:val="22"/>
                <w:highlight w:val="none"/>
              </w:rPr>
              <w:t>次数≥10次；</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b/>
                <w:color w:val="auto"/>
                <w:sz w:val="22"/>
                <w:szCs w:val="22"/>
                <w:highlight w:val="none"/>
              </w:rPr>
              <w:t>测验和作业</w:t>
            </w:r>
            <w:r>
              <w:rPr>
                <w:rFonts w:hint="eastAsia" w:ascii="宋体" w:hAnsi="宋体" w:eastAsia="宋体" w:cs="宋体"/>
                <w:color w:val="auto"/>
                <w:sz w:val="22"/>
                <w:szCs w:val="22"/>
                <w:highlight w:val="none"/>
              </w:rPr>
              <w:t>：总次数≥30次，总参与人次≥1000人；</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w:t>
            </w:r>
            <w:r>
              <w:rPr>
                <w:rFonts w:hint="eastAsia" w:ascii="宋体" w:hAnsi="宋体" w:eastAsia="宋体" w:cs="宋体"/>
                <w:b/>
                <w:color w:val="auto"/>
                <w:sz w:val="22"/>
                <w:szCs w:val="22"/>
                <w:highlight w:val="none"/>
              </w:rPr>
              <w:t>互动与讨论</w:t>
            </w:r>
            <w:r>
              <w:rPr>
                <w:rFonts w:hint="eastAsia" w:ascii="宋体" w:hAnsi="宋体" w:eastAsia="宋体" w:cs="宋体"/>
                <w:color w:val="auto"/>
                <w:sz w:val="22"/>
                <w:szCs w:val="22"/>
                <w:highlight w:val="none"/>
              </w:rPr>
              <w:t>：教师发帖数≥30帖，发帖总数≥100帖，总参与人次≥400人；</w:t>
            </w:r>
          </w:p>
          <w:p>
            <w:pPr>
              <w:spacing w:line="264" w:lineRule="auto"/>
              <w:rPr>
                <w:rFonts w:hint="eastAsia" w:ascii="宋体" w:hAnsi="宋体" w:eastAsia="宋体" w:cs="宋体"/>
                <w:sz w:val="22"/>
                <w:szCs w:val="22"/>
              </w:rPr>
            </w:pPr>
            <w:r>
              <w:rPr>
                <w:rFonts w:hint="eastAsia" w:ascii="宋体" w:hAnsi="宋体" w:eastAsia="宋体" w:cs="宋体"/>
                <w:color w:val="auto"/>
                <w:sz w:val="22"/>
                <w:szCs w:val="22"/>
                <w:highlight w:val="none"/>
              </w:rPr>
              <w:t>4.</w:t>
            </w:r>
            <w:r>
              <w:rPr>
                <w:rFonts w:hint="eastAsia" w:ascii="宋体" w:hAnsi="宋体" w:eastAsia="宋体" w:cs="宋体"/>
                <w:b/>
                <w:color w:val="auto"/>
                <w:sz w:val="22"/>
                <w:szCs w:val="22"/>
                <w:highlight w:val="none"/>
              </w:rPr>
              <w:t>考试</w:t>
            </w:r>
            <w:r>
              <w:rPr>
                <w:rFonts w:hint="eastAsia" w:ascii="宋体" w:hAnsi="宋体" w:eastAsia="宋体" w:cs="宋体"/>
                <w:color w:val="auto"/>
                <w:sz w:val="22"/>
                <w:szCs w:val="22"/>
                <w:highlight w:val="none"/>
              </w:rPr>
              <w:t>：次数≥1次，总参与人次≥200人。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1271" w:type="dxa"/>
            <w:vMerge w:val="continue"/>
            <w:tcBorders>
              <w:left w:val="single" w:color="auto" w:sz="12" w:space="0"/>
              <w:bottom w:val="single" w:color="auto" w:sz="12" w:space="0"/>
            </w:tcBorders>
          </w:tcPr>
          <w:p>
            <w:pPr>
              <w:rPr>
                <w:b/>
              </w:rPr>
            </w:pPr>
          </w:p>
        </w:tc>
        <w:tc>
          <w:tcPr>
            <w:tcW w:w="1843" w:type="dxa"/>
            <w:tcBorders>
              <w:bottom w:val="single" w:color="auto" w:sz="12" w:space="0"/>
            </w:tcBorders>
            <w:vAlign w:val="center"/>
          </w:tcPr>
          <w:p>
            <w:pPr>
              <w:jc w:val="center"/>
              <w:rPr>
                <w:b/>
                <w:sz w:val="22"/>
              </w:rPr>
            </w:pPr>
            <w:r>
              <w:rPr>
                <w:rFonts w:hint="eastAsia"/>
                <w:b/>
                <w:sz w:val="22"/>
              </w:rPr>
              <w:t>教学效果与影响</w:t>
            </w:r>
          </w:p>
        </w:tc>
        <w:tc>
          <w:tcPr>
            <w:tcW w:w="5256" w:type="dxa"/>
            <w:tcBorders>
              <w:bottom w:val="single" w:color="auto" w:sz="12" w:space="0"/>
              <w:right w:val="single" w:color="auto" w:sz="12" w:space="0"/>
            </w:tcBorders>
            <w:vAlign w:val="center"/>
          </w:tcPr>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课程共享范围广泛，应用模式多样，线上线下应用结合效果较好，能切实提高教学质量，在同类课程中具有一定的影响力。教学效果与影响应满足如下要求：</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1.原则上</w:t>
            </w:r>
            <w:r>
              <w:rPr>
                <w:rFonts w:hint="eastAsia" w:ascii="宋体" w:hAnsi="宋体" w:eastAsia="宋体" w:cs="宋体"/>
                <w:b/>
                <w:color w:val="auto"/>
                <w:sz w:val="22"/>
                <w:szCs w:val="22"/>
                <w:highlight w:val="none"/>
              </w:rPr>
              <w:t>学习总人次</w:t>
            </w:r>
            <w:r>
              <w:rPr>
                <w:rFonts w:hint="eastAsia" w:ascii="宋体" w:hAnsi="宋体" w:eastAsia="宋体" w:cs="宋体"/>
                <w:color w:val="auto"/>
                <w:sz w:val="22"/>
                <w:szCs w:val="22"/>
                <w:highlight w:val="none"/>
              </w:rPr>
              <w:t>≥1000人（多个教学周期累加）；</w:t>
            </w:r>
          </w:p>
          <w:p>
            <w:pPr>
              <w:adjustRightInd w:val="0"/>
              <w:snapToGrid w:val="0"/>
              <w:spacing w:line="0" w:lineRule="atLeas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2.课程应用模式多样，除在线学习外，还应用于翻转教学、SPOC教学等；</w:t>
            </w:r>
          </w:p>
          <w:p>
            <w:pPr>
              <w:spacing w:line="264" w:lineRule="auto"/>
              <w:rPr>
                <w:rFonts w:hint="eastAsia" w:ascii="宋体" w:hAnsi="宋体" w:eastAsia="宋体" w:cs="宋体"/>
                <w:sz w:val="22"/>
                <w:szCs w:val="22"/>
              </w:rPr>
            </w:pPr>
            <w:r>
              <w:rPr>
                <w:rFonts w:hint="eastAsia" w:ascii="宋体" w:hAnsi="宋体" w:eastAsia="宋体" w:cs="宋体"/>
                <w:color w:val="auto"/>
                <w:sz w:val="22"/>
                <w:szCs w:val="22"/>
                <w:highlight w:val="none"/>
              </w:rPr>
              <w:t>3.课程共享范围广，除社会学习者外，在别的高校也获得应用。</w:t>
            </w:r>
          </w:p>
        </w:tc>
      </w:tr>
    </w:tbl>
    <w:p/>
    <w:sectPr>
      <w:pgSz w:w="11906" w:h="16838"/>
      <w:pgMar w:top="1135"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0A"/>
    <w:rsid w:val="00001742"/>
    <w:rsid w:val="00017FE1"/>
    <w:rsid w:val="000833A3"/>
    <w:rsid w:val="00083DF0"/>
    <w:rsid w:val="00176D6F"/>
    <w:rsid w:val="001A6820"/>
    <w:rsid w:val="001D7DCA"/>
    <w:rsid w:val="001E38E8"/>
    <w:rsid w:val="00207A98"/>
    <w:rsid w:val="0022263A"/>
    <w:rsid w:val="00247CB5"/>
    <w:rsid w:val="00260337"/>
    <w:rsid w:val="002663AC"/>
    <w:rsid w:val="002A3FEF"/>
    <w:rsid w:val="002F4812"/>
    <w:rsid w:val="0030714F"/>
    <w:rsid w:val="003145C8"/>
    <w:rsid w:val="00350DF5"/>
    <w:rsid w:val="00384E74"/>
    <w:rsid w:val="003B407F"/>
    <w:rsid w:val="003C0138"/>
    <w:rsid w:val="003D2C8E"/>
    <w:rsid w:val="003E28D1"/>
    <w:rsid w:val="003F0956"/>
    <w:rsid w:val="00410AC6"/>
    <w:rsid w:val="004125FF"/>
    <w:rsid w:val="00427263"/>
    <w:rsid w:val="00462B2F"/>
    <w:rsid w:val="00474E41"/>
    <w:rsid w:val="004B5F27"/>
    <w:rsid w:val="005037B0"/>
    <w:rsid w:val="005231FA"/>
    <w:rsid w:val="0055782F"/>
    <w:rsid w:val="005D2591"/>
    <w:rsid w:val="00613695"/>
    <w:rsid w:val="00613DFA"/>
    <w:rsid w:val="00620010"/>
    <w:rsid w:val="00633C7E"/>
    <w:rsid w:val="00673A0A"/>
    <w:rsid w:val="006930C7"/>
    <w:rsid w:val="006B2CA4"/>
    <w:rsid w:val="006E3D3A"/>
    <w:rsid w:val="006E66A9"/>
    <w:rsid w:val="00701971"/>
    <w:rsid w:val="007113B7"/>
    <w:rsid w:val="00743B89"/>
    <w:rsid w:val="00751166"/>
    <w:rsid w:val="00786C44"/>
    <w:rsid w:val="007C311A"/>
    <w:rsid w:val="008F073C"/>
    <w:rsid w:val="0096558F"/>
    <w:rsid w:val="00981895"/>
    <w:rsid w:val="00981E24"/>
    <w:rsid w:val="009A654C"/>
    <w:rsid w:val="009F4DB9"/>
    <w:rsid w:val="00A0544F"/>
    <w:rsid w:val="00A17BA4"/>
    <w:rsid w:val="00A327AE"/>
    <w:rsid w:val="00A77EB8"/>
    <w:rsid w:val="00AD00BC"/>
    <w:rsid w:val="00AF7730"/>
    <w:rsid w:val="00B15F99"/>
    <w:rsid w:val="00B53112"/>
    <w:rsid w:val="00B85872"/>
    <w:rsid w:val="00BB3B75"/>
    <w:rsid w:val="00BB70F0"/>
    <w:rsid w:val="00C75CB9"/>
    <w:rsid w:val="00C87761"/>
    <w:rsid w:val="00CC5911"/>
    <w:rsid w:val="00CE0E58"/>
    <w:rsid w:val="00D216A9"/>
    <w:rsid w:val="00DD5B70"/>
    <w:rsid w:val="00E02012"/>
    <w:rsid w:val="00E14A27"/>
    <w:rsid w:val="00E25F6D"/>
    <w:rsid w:val="00E2720A"/>
    <w:rsid w:val="00E76EB0"/>
    <w:rsid w:val="00E962E9"/>
    <w:rsid w:val="00EB31E6"/>
    <w:rsid w:val="00EE73C5"/>
    <w:rsid w:val="00EE7EC5"/>
    <w:rsid w:val="00F274F4"/>
    <w:rsid w:val="00F411D8"/>
    <w:rsid w:val="00F453D8"/>
    <w:rsid w:val="00FA5695"/>
    <w:rsid w:val="00FB0496"/>
    <w:rsid w:val="00FB27E6"/>
    <w:rsid w:val="00FB58B5"/>
    <w:rsid w:val="00FD6044"/>
    <w:rsid w:val="1D822513"/>
    <w:rsid w:val="5F2D5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rFonts w:ascii="Times New Roman" w:hAnsi="Times New Roman" w:eastAsia="宋体" w:cs="Times New Roman"/>
      <w:sz w:val="18"/>
      <w:szCs w:val="18"/>
    </w:rPr>
  </w:style>
  <w:style w:type="character" w:customStyle="1" w:styleId="8">
    <w:name w:val="页脚 Char"/>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ustc</Company>
  <Pages>1</Pages>
  <Words>123</Words>
  <Characters>703</Characters>
  <Lines>5</Lines>
  <Paragraphs>1</Paragraphs>
  <TotalTime>5</TotalTime>
  <ScaleCrop>false</ScaleCrop>
  <LinksUpToDate>false</LinksUpToDate>
  <CharactersWithSpaces>825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2018-04-02T08:15:00Z</dcterms:created>
  <dc:creator>zhang</dc:creator>
  <cp:lastModifiedBy>兔姐~（Rabbit）</cp:lastModifiedBy>
  <dcterms:modified xsi:type="dcterms:W3CDTF">2020-12-02T07:19:30Z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